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5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408"/>
          <w:tab w:val="left" w:pos="2329" w:leader="none"/>
        </w:tabs>
        <w:rPr>
          <w:rFonts w:cs="Calibri"/>
          <w:b/>
        </w:rPr>
      </w:pPr>
      <w:r>
        <w:rPr>
          <w:rFonts w:cs="Calibri"/>
          <w:b/>
        </w:rPr>
        <w:tab/>
      </w:r>
    </w:p>
    <w:p>
      <w:pPr>
        <w:pStyle w:val="Normal"/>
        <w:tabs>
          <w:tab w:val="clear" w:pos="408"/>
          <w:tab w:val="left" w:pos="2329" w:leader="none"/>
        </w:tabs>
        <w:rPr>
          <w:rFonts w:cs="Calibri"/>
          <w:b/>
        </w:rPr>
      </w:pPr>
      <w:r>
        <w:rPr>
          <w:rFonts w:cs="Calibri"/>
          <w:b/>
        </w:rPr>
      </w:r>
    </w:p>
    <w:p>
      <w:pPr>
        <w:pStyle w:val="Normal"/>
        <w:tabs>
          <w:tab w:val="clear" w:pos="408"/>
          <w:tab w:val="left" w:pos="2329" w:leader="none"/>
        </w:tabs>
        <w:rPr>
          <w:rFonts w:cs="Calibri"/>
          <w:b/>
        </w:rPr>
      </w:pPr>
      <w:r>
        <w:rPr>
          <w:rFonts w:cs="Calibri"/>
          <w:b/>
        </w:rPr>
      </w:r>
    </w:p>
    <w:p>
      <w:pPr>
        <w:pStyle w:val="Normal"/>
        <w:tabs>
          <w:tab w:val="clear" w:pos="408"/>
          <w:tab w:val="left" w:pos="2329" w:leader="none"/>
        </w:tabs>
        <w:rPr>
          <w:rFonts w:cs="Calibri"/>
          <w:b/>
        </w:rPr>
      </w:pPr>
      <w:r>
        <w:rPr>
          <w:rFonts w:cs="Calibri"/>
          <w:b/>
        </w:rPr>
      </w:r>
    </w:p>
    <w:p>
      <w:pPr>
        <w:pStyle w:val="Normal"/>
        <w:tabs>
          <w:tab w:val="clear" w:pos="408"/>
          <w:tab w:val="left" w:pos="2329" w:leader="none"/>
        </w:tabs>
        <w:rPr>
          <w:rFonts w:cs="Calibri"/>
          <w:b/>
        </w:rPr>
      </w:pPr>
      <w:r>
        <w:rPr>
          <w:rFonts w:cs="Calibri"/>
          <w:b/>
        </w:rPr>
      </w:r>
    </w:p>
    <w:p>
      <w:pPr>
        <w:pStyle w:val="Normal"/>
        <w:tabs>
          <w:tab w:val="clear" w:pos="408"/>
          <w:tab w:val="left" w:pos="2329" w:leader="none"/>
        </w:tabs>
        <w:rPr>
          <w:rFonts w:cs="Calibri"/>
          <w:b/>
        </w:rPr>
      </w:pPr>
      <w:r>
        <w:rPr>
          <w:rFonts w:cs="Calibri"/>
          <w:b/>
        </w:rPr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Технические требования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«ОКПД2 42.22.22.120 Мероприятия по строительству, реконструкции электрических сетей до 35 кВ и организации коммерческого учета электрической энергии для технологического присоединения потребителей (в том числе ПИР) на территории филиала "Электрические сети ЕАО"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(лот № 16801-КС ПИР СМР-2026-ДРСК-ЕАО)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4"/>
          <w:szCs w:val="24"/>
        </w:rPr>
      </w:pPr>
      <w:bookmarkStart w:id="2" w:name="_Toc54643122"/>
      <w:bookmarkEnd w:id="2"/>
      <w:r>
        <w:rPr>
          <w:rFonts w:cs="Times New Roman" w:ascii="Times New Roman" w:hAnsi="Times New Roman"/>
          <w:b/>
          <w:bCs/>
          <w:sz w:val="24"/>
          <w:szCs w:val="24"/>
          <w:lang w:val="x-none" w:eastAsia="x-none"/>
        </w:rPr>
        <w:t xml:space="preserve">СОДЕРЖАНИЕ </w:t>
      </w:r>
    </w:p>
    <w:p>
      <w:pPr>
        <w:pStyle w:val="Normal"/>
        <w:spacing w:lineRule="auto" w:line="240" w:before="0" w:after="85"/>
        <w:jc w:val="both"/>
        <w:rPr/>
      </w:pPr>
      <w:r>
        <w:rPr>
          <w:rFonts w:cs="Times New Roman" w:ascii="Times New Roman" w:hAnsi="Times New Roman"/>
          <w:b/>
          <w:bCs/>
          <w:lang w:val="x-none" w:eastAsia="x-none"/>
        </w:rPr>
        <w:t>1. Общие сведения……………………………………………………………………………….стр.4</w:t>
      </w:r>
    </w:p>
    <w:p>
      <w:pPr>
        <w:pStyle w:val="Normal"/>
        <w:spacing w:lineRule="auto" w:line="240" w:before="0" w:after="85"/>
        <w:jc w:val="both"/>
        <w:rPr/>
      </w:pPr>
      <w:r>
        <w:rPr>
          <w:rFonts w:cs="Times New Roman" w:ascii="Times New Roman" w:hAnsi="Times New Roman"/>
          <w:lang w:val="x-none" w:eastAsia="x-none"/>
        </w:rPr>
        <w:t>1.1. Наименование закупаемых работ………………………………………………………….. стр 4</w:t>
      </w:r>
    </w:p>
    <w:p>
      <w:pPr>
        <w:pStyle w:val="Normal"/>
        <w:spacing w:lineRule="auto" w:line="240" w:before="0" w:after="85"/>
        <w:jc w:val="both"/>
        <w:rPr/>
      </w:pPr>
      <w:r>
        <w:rPr>
          <w:rFonts w:cs="Times New Roman" w:ascii="Times New Roman" w:hAnsi="Times New Roman"/>
          <w:lang w:val="x-none" w:eastAsia="x-none"/>
        </w:rPr>
        <w:t>1.2. Заказчик……………………………………………………………………………………….стр 4</w:t>
      </w:r>
    </w:p>
    <w:p>
      <w:pPr>
        <w:pStyle w:val="Normal"/>
        <w:spacing w:lineRule="auto" w:line="240" w:before="0" w:after="85"/>
        <w:jc w:val="both"/>
        <w:rPr/>
      </w:pPr>
      <w:r>
        <w:rPr>
          <w:rFonts w:cs="Times New Roman" w:ascii="Times New Roman" w:hAnsi="Times New Roman"/>
          <w:lang w:val="x-none" w:eastAsia="x-none"/>
        </w:rPr>
        <w:t>1.3. Цели и задачи……………………………………………………………………………...….стр 4</w:t>
      </w:r>
    </w:p>
    <w:p>
      <w:pPr>
        <w:pStyle w:val="Normal"/>
        <w:spacing w:lineRule="auto" w:line="240" w:before="0" w:after="85"/>
        <w:jc w:val="both"/>
        <w:rPr/>
      </w:pPr>
      <w:r>
        <w:rPr>
          <w:rFonts w:cs="Times New Roman" w:ascii="Times New Roman" w:hAnsi="Times New Roman"/>
          <w:b/>
          <w:bCs/>
          <w:lang w:val="x-none" w:eastAsia="x-none"/>
        </w:rPr>
        <w:t xml:space="preserve">2. Требования к продукции…………………………………………………………………….стр.5 </w:t>
      </w:r>
    </w:p>
    <w:p>
      <w:pPr>
        <w:pStyle w:val="Normal"/>
        <w:spacing w:lineRule="auto" w:line="240" w:before="0" w:after="85"/>
        <w:jc w:val="both"/>
        <w:rPr/>
      </w:pPr>
      <w:r>
        <w:rPr>
          <w:rFonts w:cs="Times New Roman" w:ascii="Times New Roman" w:hAnsi="Times New Roman"/>
          <w:lang w:val="x-none" w:eastAsia="x-none"/>
        </w:rPr>
        <w:t>2.1. Требования к видам и объемам работ……………………………………………………....стр 5</w:t>
      </w:r>
    </w:p>
    <w:p>
      <w:pPr>
        <w:pStyle w:val="Normal"/>
        <w:spacing w:lineRule="auto" w:line="240" w:before="0" w:after="85"/>
        <w:jc w:val="both"/>
        <w:rPr/>
      </w:pPr>
      <w:r>
        <w:rPr>
          <w:rFonts w:cs="Times New Roman" w:ascii="Times New Roman" w:hAnsi="Times New Roman"/>
          <w:lang w:val="x-none" w:eastAsia="x-none"/>
        </w:rPr>
        <w:t>2.2. Требования к срокам выполнения работ…………………………………………………....стр 5</w:t>
      </w:r>
    </w:p>
    <w:p>
      <w:pPr>
        <w:pStyle w:val="Normal"/>
        <w:spacing w:lineRule="auto" w:line="240" w:before="0" w:after="85"/>
        <w:jc w:val="both"/>
        <w:rPr/>
      </w:pPr>
      <w:r>
        <w:rPr>
          <w:rFonts w:cs="Times New Roman" w:ascii="Times New Roman" w:hAnsi="Times New Roman"/>
          <w:lang w:val="x-none" w:eastAsia="x-none"/>
        </w:rPr>
        <w:t>2.3. Требования к качеству работ……………………………………………………………..стр 6-13</w:t>
      </w:r>
    </w:p>
    <w:p>
      <w:pPr>
        <w:pStyle w:val="Normal"/>
        <w:spacing w:lineRule="auto" w:line="240" w:before="0" w:after="85"/>
        <w:jc w:val="both"/>
        <w:rPr/>
      </w:pPr>
      <w:r>
        <w:rPr>
          <w:rFonts w:cs="Times New Roman" w:ascii="Times New Roman" w:hAnsi="Times New Roman"/>
          <w:b/>
          <w:bCs/>
          <w:lang w:val="x-none" w:eastAsia="x-none"/>
        </w:rPr>
        <w:t>3. Требования к документации по ценообразованию…………………………………..….стр.15</w:t>
      </w:r>
    </w:p>
    <w:p>
      <w:pPr>
        <w:pStyle w:val="Normal"/>
        <w:spacing w:lineRule="auto" w:line="240" w:before="0" w:after="85"/>
        <w:jc w:val="both"/>
        <w:rPr/>
      </w:pPr>
      <w:r>
        <w:rPr>
          <w:rFonts w:cs="Times New Roman" w:ascii="Times New Roman" w:hAnsi="Times New Roman"/>
          <w:lang w:val="x-none" w:eastAsia="x-none"/>
        </w:rPr>
        <w:t>3.1.Требования к документации по ценообразованию на этапе закупки……………….…....стр.15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lang w:val="x-none" w:eastAsia="x-none"/>
        </w:rPr>
        <w:t>3.2. Требования к документации по ценообразованию на этап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lang w:val="x-none" w:eastAsia="x-none"/>
        </w:rPr>
        <w:t>заключения(исполнения) договора………………………………………………………….…..стр.15</w:t>
      </w:r>
    </w:p>
    <w:p>
      <w:pPr>
        <w:pStyle w:val="Normal"/>
        <w:spacing w:lineRule="auto" w:line="240" w:before="0" w:after="0"/>
        <w:jc w:val="both"/>
        <w:rPr>
          <w:b/>
          <w:bCs/>
          <w:i w:val="false"/>
          <w:i w:val="false"/>
          <w:iCs w:val="false"/>
        </w:rPr>
      </w:pPr>
      <w:r>
        <w:rPr>
          <w:rFonts w:cs="Times New Roman" w:ascii="Times New Roman" w:hAnsi="Times New Roman"/>
          <w:b/>
          <w:bCs/>
          <w:i w:val="false"/>
          <w:iCs w:val="false"/>
          <w:lang w:val="x-none" w:eastAsia="x-none"/>
        </w:rPr>
        <w:t xml:space="preserve">4. </w:t>
      </w:r>
      <w:r>
        <w:rPr>
          <w:rFonts w:cs="Times New Roman" w:ascii="Times New Roman" w:hAnsi="Times New Roman"/>
          <w:b/>
          <w:bCs/>
          <w:i w:val="false"/>
          <w:iCs w:val="false"/>
          <w:sz w:val="22"/>
          <w:szCs w:val="22"/>
          <w:lang w:val="x-none" w:eastAsia="x-none"/>
        </w:rPr>
        <w:t>Требования к документации по ценообразованию на этапе исполнения договора…стр.15</w:t>
      </w:r>
    </w:p>
    <w:p>
      <w:pPr>
        <w:pStyle w:val="Normal"/>
        <w:spacing w:lineRule="auto" w:line="240" w:before="0" w:after="0"/>
        <w:jc w:val="both"/>
        <w:rPr>
          <w:b/>
          <w:bCs/>
          <w:i w:val="false"/>
          <w:i w:val="false"/>
          <w:iCs w:val="false"/>
          <w:sz w:val="22"/>
          <w:szCs w:val="22"/>
        </w:rPr>
      </w:pPr>
      <w:r>
        <w:rPr>
          <w:rFonts w:cs="Times New Roman" w:ascii="Times New Roman" w:hAnsi="Times New Roman"/>
          <w:b/>
          <w:bCs/>
          <w:i w:val="false"/>
          <w:iCs w:val="false"/>
          <w:sz w:val="22"/>
          <w:szCs w:val="22"/>
          <w:lang w:val="x-none" w:eastAsia="x-none"/>
        </w:rPr>
        <w:t>5. Приложения…………………………………………………………………………………...стр.15</w:t>
      </w:r>
    </w:p>
    <w:p>
      <w:pPr>
        <w:pStyle w:val="Normal"/>
        <w:spacing w:lineRule="auto" w:line="240" w:before="0" w:after="85"/>
        <w:jc w:val="both"/>
        <w:rPr>
          <w:b/>
          <w:bCs/>
          <w:i w:val="false"/>
          <w:i w:val="false"/>
          <w:iCs w:val="false"/>
        </w:rPr>
      </w:pPr>
      <w:r>
        <w:rPr>
          <w:rFonts w:cs="Times New Roman" w:ascii="Times New Roman" w:hAnsi="Times New Roman"/>
          <w:b/>
          <w:bCs/>
          <w:i w:val="false"/>
          <w:iCs w:val="false"/>
          <w:lang w:val="x-none" w:eastAsia="x-none"/>
        </w:rPr>
        <w:t xml:space="preserve"> 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lang w:val="x-none" w:eastAsia="x-none"/>
        </w:rPr>
        <w:t>.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sz w:val="20"/>
          <w:szCs w:val="20"/>
        </w:rPr>
      </w:pPr>
      <w:bookmarkStart w:id="3" w:name="_Toc546431221"/>
      <w:bookmarkEnd w:id="3"/>
      <w:r>
        <w:rPr>
          <w:rFonts w:cs="Times New Roman" w:ascii="Times New Roman" w:hAnsi="Times New Roman"/>
          <w:sz w:val="20"/>
          <w:szCs w:val="20"/>
          <w:lang w:eastAsia="x-none"/>
        </w:rPr>
        <w:t xml:space="preserve"> </w:t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432" w:hanging="432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0" w:hanging="0"/>
        <w:jc w:val="both"/>
        <w:outlineLvl w:val="3"/>
        <w:rPr/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120" w:after="60"/>
        <w:ind w:left="0" w:hanging="0"/>
        <w:jc w:val="both"/>
        <w:outlineLvl w:val="3"/>
        <w:rPr>
          <w:rFonts w:ascii="Times New Roman" w:hAnsi="Times New Roman"/>
          <w:sz w:val="24"/>
          <w:szCs w:val="24"/>
        </w:rPr>
      </w:pPr>
      <w:bookmarkStart w:id="4" w:name="_Toc54646396"/>
      <w:bookmarkStart w:id="5" w:name="_Toc46743505"/>
      <w:r>
        <w:rPr>
          <w:rFonts w:cs="Times New Roman" w:ascii="Times New Roman" w:hAnsi="Times New Roman"/>
          <w:b/>
          <w:bCs/>
          <w:sz w:val="24"/>
          <w:szCs w:val="24"/>
          <w:lang w:val="x-none" w:eastAsia="x-none"/>
        </w:rPr>
        <w:t>Обозначения и сокращения</w:t>
      </w:r>
      <w:bookmarkEnd w:id="4"/>
      <w:bookmarkEnd w:id="5"/>
      <w:r>
        <w:rPr>
          <w:rFonts w:cs="Times New Roman" w:ascii="Times New Roman" w:hAnsi="Times New Roman"/>
          <w:b/>
          <w:bCs/>
          <w:sz w:val="24"/>
          <w:szCs w:val="24"/>
          <w:lang w:eastAsia="x-none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  <w:lang w:val="x-none" w:eastAsia="x-none"/>
        </w:rPr>
        <w:t>в электроэнергетике</w:t>
      </w:r>
    </w:p>
    <w:tbl>
      <w:tblPr>
        <w:tblW w:w="913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4"/>
        <w:gridCol w:w="7350"/>
      </w:tblGrid>
      <w:tr>
        <w:trPr>
          <w:cantSplit w:val="true"/>
        </w:trPr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35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- Акционерное общество</w:t>
            </w:r>
          </w:p>
        </w:tc>
      </w:tr>
      <w:tr>
        <w:trPr>
          <w:cantSplit w:val="true"/>
        </w:trPr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35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- Общество с ограниченной ответственностью</w:t>
            </w:r>
          </w:p>
        </w:tc>
      </w:tr>
      <w:tr>
        <w:trPr>
          <w:cantSplit w:val="true"/>
        </w:trPr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35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- Проект производства работ</w:t>
            </w:r>
          </w:p>
        </w:tc>
      </w:tr>
      <w:tr>
        <w:trPr>
          <w:cantSplit w:val="true"/>
        </w:trPr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35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- Свод правил</w:t>
            </w:r>
          </w:p>
        </w:tc>
      </w:tr>
      <w:tr>
        <w:trPr>
          <w:cantSplit w:val="true"/>
        </w:trPr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35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-Строительные нормы и правила</w:t>
            </w:r>
          </w:p>
        </w:tc>
      </w:tr>
      <w:tr>
        <w:trPr>
          <w:cantSplit w:val="true"/>
        </w:trPr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35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- Руководящие документы</w:t>
            </w:r>
          </w:p>
        </w:tc>
      </w:tr>
      <w:tr>
        <w:trPr>
          <w:cantSplit w:val="true"/>
        </w:trPr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35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- Инструкция</w:t>
            </w:r>
          </w:p>
        </w:tc>
      </w:tr>
      <w:tr>
        <w:trPr>
          <w:cantSplit w:val="true"/>
        </w:trPr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35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- Районные электрические сети</w:t>
            </w:r>
          </w:p>
        </w:tc>
      </w:tr>
      <w:tr>
        <w:trPr>
          <w:cantSplit w:val="true"/>
        </w:trPr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735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- Санитарные правила и нормы</w:t>
            </w:r>
          </w:p>
        </w:tc>
      </w:tr>
      <w:tr>
        <w:trPr>
          <w:cantSplit w:val="true"/>
        </w:trPr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35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- Воздушная линия электропередачи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numPr>
          <w:ilvl w:val="0"/>
          <w:numId w:val="0"/>
        </w:numPr>
        <w:spacing w:lineRule="auto" w:line="240" w:before="119" w:after="62"/>
        <w:ind w:left="431" w:hanging="431"/>
        <w:jc w:val="center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119" w:after="62"/>
        <w:ind w:left="431" w:hanging="431"/>
        <w:jc w:val="center"/>
        <w:outlineLvl w:val="3"/>
        <w:rPr>
          <w:color w:val="2A6099"/>
        </w:rPr>
      </w:pPr>
      <w:r>
        <w:rPr>
          <w:rFonts w:cs="Times New Roman" w:ascii="Times New Roman" w:hAnsi="Times New Roman"/>
          <w:b/>
          <w:bCs/>
          <w:color w:val="2A6099"/>
          <w:sz w:val="24"/>
          <w:szCs w:val="24"/>
          <w:lang w:val="x-none" w:eastAsia="x-none"/>
        </w:rPr>
        <w:t>1. Общие сведения</w:t>
      </w:r>
    </w:p>
    <w:p>
      <w:pPr>
        <w:pStyle w:val="Normal"/>
        <w:spacing w:lineRule="auto" w:line="240" w:before="0" w:after="0"/>
        <w:ind w:firstLine="68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1.1. Наименование закупаемых работ.</w:t>
      </w:r>
    </w:p>
    <w:p>
      <w:pPr>
        <w:pStyle w:val="Normal"/>
        <w:spacing w:lineRule="auto" w:line="240" w:before="0" w:after="0"/>
        <w:ind w:firstLine="68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«ОКПД2 42.22.22.120 Мероприятия по строительству, реконструкции электрических сетей до 35 кВ и организации коммерческого учета электрической энергии для технологического присоединения потребителей (в том числе ПИР) на территории филиала "Электрические сети ЕАО"»</w:t>
      </w:r>
    </w:p>
    <w:p>
      <w:pPr>
        <w:pStyle w:val="Normal"/>
        <w:spacing w:lineRule="auto" w:line="240" w:before="0" w:after="0"/>
        <w:ind w:firstLine="68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1.2. Заказчик.</w:t>
      </w:r>
    </w:p>
    <w:p>
      <w:pPr>
        <w:pStyle w:val="Normal"/>
        <w:spacing w:lineRule="auto" w:line="240" w:before="0" w:after="0"/>
        <w:ind w:firstLine="68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Акционерное общество «Дальневосточная распределительная сетевая компания» филиала «Электрические сети ЕАО» (сокращенное наименование: ФАО «ДРСК»«ЭС ЕАО»)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Адрес (Место нахождения): Еврейская автономная область, г. Биробиджан, ул. Черноморская д. 6.</w:t>
      </w:r>
    </w:p>
    <w:p>
      <w:pPr>
        <w:pStyle w:val="Normal"/>
        <w:spacing w:lineRule="auto" w:line="240" w:before="0" w:after="0"/>
        <w:ind w:firstLine="68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 xml:space="preserve">1.3. Цели и задачи. </w:t>
      </w:r>
    </w:p>
    <w:p>
      <w:pPr>
        <w:pStyle w:val="Normal"/>
        <w:spacing w:lineRule="auto" w:line="240" w:before="0" w:after="0"/>
        <w:ind w:firstLine="68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1.3.1. Настоящее Техническое требование составлено в целях выполнения мероприятий по технологическому присоединению энергопринимающих устройств заявителей к электрическим сетям Заказчика, путём строительства (реконструкции) объектов электросетевого хозяйства на территории Еврейской автономной области.</w:t>
      </w:r>
    </w:p>
    <w:p>
      <w:pPr>
        <w:pStyle w:val="Normal"/>
        <w:spacing w:lineRule="auto" w:line="240" w:before="0" w:after="0"/>
        <w:ind w:firstLine="68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1.3.2. Заказчик планирует заключить с победителем закупки рамочный договор на выполнение работ: «ОКПД2 42.22.22.120 Мероприятия по строительству, реконструкции электрических сетей до 35 кВ и организации коммерческого учета электрической энергии для технологического присоединения потребителей (в том числе ПИР) на территории филиала "Электрические сети ЕАО"».</w:t>
      </w:r>
    </w:p>
    <w:p>
      <w:pPr>
        <w:pStyle w:val="Normal"/>
        <w:spacing w:lineRule="auto" w:line="240" w:before="0" w:after="0"/>
        <w:ind w:firstLine="68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1.3.3. Планируемый объём выполняемых работ составляет не более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8 887 260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,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48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руб. без учета НДС на весь срок действия договора.</w:t>
      </w:r>
    </w:p>
    <w:p>
      <w:pPr>
        <w:pStyle w:val="Normal"/>
        <w:spacing w:lineRule="auto" w:line="240" w:before="0" w:after="0"/>
        <w:ind w:firstLine="68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1.4. Иные требования и сведения общего характера.</w:t>
      </w:r>
    </w:p>
    <w:p>
      <w:pPr>
        <w:pStyle w:val="Normal"/>
        <w:spacing w:lineRule="auto" w:line="240" w:before="0" w:after="0"/>
        <w:ind w:firstLine="68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>1.4.1. Конкретные объёмы выполняемых работ определяются дополнительными соглашениями к заключенному договору, оформляемыми Заказчиком по мере возникновения потребности в выполнении подрядных работ.</w:t>
      </w:r>
    </w:p>
    <w:p>
      <w:pPr>
        <w:pStyle w:val="Normal"/>
        <w:spacing w:lineRule="auto" w:line="240" w:before="0" w:after="0"/>
        <w:ind w:firstLine="68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 xml:space="preserve">1.4.2.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shd w:fill="FFFFFF" w:val="clear"/>
          <w:lang w:eastAsia="ru-RU"/>
        </w:rPr>
        <w:t>п.3.2.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 xml:space="preserve"> настоящего технического требования с учетом конкретных объемов работ.</w:t>
      </w:r>
    </w:p>
    <w:p>
      <w:pPr>
        <w:pStyle w:val="Normal"/>
        <w:spacing w:lineRule="auto" w:line="240" w:before="0" w:after="0"/>
        <w:ind w:firstLine="68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>1.4.3. Стоимость каждого вида работ, указанных в протоколе согласования (ведомости) договорной цены, определяется на основании локальных сметных расчетов (Приложение 1 к Техническому требованию). Не допускается превышение стоимости отдельных позиций, указанных в плановых Локальных сметных расчетах Заказчика (Приложение 1 к Техническому требованию). Стоимость для каждого вида работ будет являться существенным условием договора, заключаемого по результатам закупки.</w:t>
      </w:r>
    </w:p>
    <w:p>
      <w:pPr>
        <w:pStyle w:val="Normal"/>
        <w:spacing w:lineRule="auto" w:line="240" w:before="0" w:after="0"/>
        <w:ind w:firstLine="68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 xml:space="preserve">По результатам настоящей конкурентной процедуры Договор будет заключаться с предельной стоимостью 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>8 887 260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 xml:space="preserve"> ,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>48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 xml:space="preserve"> рублей без учета НДС.</w:t>
      </w:r>
    </w:p>
    <w:p>
      <w:pPr>
        <w:pStyle w:val="Normal"/>
        <w:spacing w:lineRule="auto" w:line="240" w:before="0" w:after="0"/>
        <w:ind w:firstLine="624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  <w:lang w:eastAsia="ru-RU"/>
        </w:rPr>
        <w:t xml:space="preserve">Для оценки заявок Участников настоящей конкурентной закупки будет использоваться </w:t>
      </w:r>
      <w:r>
        <w:rPr>
          <w:rFonts w:cs="Times New Roman" w:ascii="Times New Roman" w:hAnsi="Times New Roman"/>
          <w:b/>
          <w:color w:val="000000"/>
          <w:sz w:val="24"/>
          <w:szCs w:val="24"/>
          <w:shd w:fill="auto" w:val="clear"/>
          <w:lang w:eastAsia="ru-RU"/>
        </w:rPr>
        <w:t>Понижающий коэффициент K1 -  тендерный коэффициент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  <w:lang w:eastAsia="ru-RU"/>
        </w:rPr>
        <w:t>.</w:t>
      </w:r>
    </w:p>
    <w:p>
      <w:pPr>
        <w:pStyle w:val="Normal"/>
        <w:spacing w:lineRule="auto" w:line="240" w:before="0" w:after="0"/>
        <w:ind w:firstLine="624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shd w:fill="auto" w:val="clear"/>
          <w:lang w:eastAsia="ru-RU"/>
        </w:rPr>
        <w:t>Требования к документации по ценообразованию на этапе закупки представлены в пункте 3 настоящих ТТ.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3061"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3061"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3061"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3061"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3061" w:hanging="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 xml:space="preserve">2. Требования к продукции </w:t>
      </w:r>
    </w:p>
    <w:p>
      <w:pPr>
        <w:pStyle w:val="Normal"/>
        <w:spacing w:lineRule="auto" w:line="240" w:before="0" w:after="12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2.1. Требования к видам и объемам работ</w:t>
      </w:r>
    </w:p>
    <w:p>
      <w:pPr>
        <w:pStyle w:val="Normal"/>
        <w:spacing w:lineRule="auto" w:line="240" w:before="0" w:after="120"/>
        <w:jc w:val="both"/>
        <w:rPr>
          <w:color w:val="000000"/>
        </w:rPr>
      </w:pPr>
      <w:bookmarkStart w:id="6" w:name="_Toc54646406"/>
      <w:bookmarkStart w:id="7" w:name="_Toc51339695"/>
      <w:r>
        <w:rPr>
          <w:rFonts w:cs="Times New Roman" w:ascii="Times New Roman" w:hAnsi="Times New Roman"/>
          <w:color w:val="000000"/>
          <w:sz w:val="24"/>
          <w:szCs w:val="24"/>
          <w:lang w:val="x-none" w:eastAsia="x-none"/>
        </w:rPr>
        <w:t>Таблица 1</w:t>
      </w:r>
      <w:r>
        <w:rPr>
          <w:rFonts w:cs="Times New Roman" w:ascii="Times New Roman" w:hAnsi="Times New Roman"/>
          <w:color w:val="000000"/>
          <w:sz w:val="24"/>
          <w:szCs w:val="24"/>
          <w:lang w:eastAsia="x-none"/>
        </w:rPr>
        <w:t>.</w:t>
      </w:r>
      <w:r>
        <w:rPr>
          <w:rFonts w:cs="Times New Roman" w:ascii="Times New Roman" w:hAnsi="Times New Roman"/>
          <w:color w:val="000000"/>
          <w:sz w:val="24"/>
          <w:szCs w:val="24"/>
          <w:lang w:val="x-none" w:eastAsia="x-none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  <w:lang w:eastAsia="x-none"/>
        </w:rPr>
        <w:t xml:space="preserve">Перечень </w:t>
      </w:r>
      <w:bookmarkEnd w:id="7"/>
      <w:r>
        <w:rPr>
          <w:rFonts w:cs="Times New Roman" w:ascii="Times New Roman" w:hAnsi="Times New Roman"/>
          <w:color w:val="000000"/>
          <w:sz w:val="24"/>
          <w:szCs w:val="24"/>
          <w:lang w:eastAsia="x-none"/>
        </w:rPr>
        <w:t>и объем выполняемых работ</w:t>
      </w:r>
      <w:bookmarkEnd w:id="6"/>
    </w:p>
    <w:tbl>
      <w:tblPr>
        <w:tblW w:w="9909" w:type="dxa"/>
        <w:jc w:val="left"/>
        <w:tblInd w:w="-1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30"/>
        <w:gridCol w:w="5265"/>
        <w:gridCol w:w="1138"/>
        <w:gridCol w:w="2875"/>
      </w:tblGrid>
      <w:tr>
        <w:trPr/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>
        <w:trPr/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firstLine="397"/>
              <w:contextualSpacing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Выполнить комплекс инженерных изысканий, в том числе сбор исходных данных, в объеме, необходимом для строительства (реконструкции) объекта.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54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Компл.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Определяются дополнительными соглашениями к заключенному договору</w:t>
            </w:r>
          </w:p>
        </w:tc>
      </w:tr>
      <w:tr>
        <w:trPr>
          <w:trHeight w:val="212" w:hRule="atLeast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397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Разработать рабочую документацию обеспечивающую реализацию принятых технических решений объекта, необходимых для производства строительно-монтажных и пусконаладочных работ (при необходимости предусмотреть обоснование и согласование с - Заказчиком основных технических решений по объекту в более ранний срок).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97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- Разработать и выдать сметную документацию Заказчику, согласно действующим требованиям по ценообразованию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1304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Компл.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85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Определяются дополнительными соглашениями к заключенному договору</w:t>
            </w:r>
          </w:p>
        </w:tc>
      </w:tr>
      <w:tr>
        <w:trPr>
          <w:trHeight w:val="212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397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Выполнить строительно-монтажные работы (новое строительство, реконструкция) в соответствии с разработанной Подрядчиком и утверждённой Заказчиком рабочей документацией.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227" w:after="0"/>
              <w:jc w:val="center"/>
              <w:rPr>
                <w:rFonts w:ascii="Times New Roman" w:hAnsi="Times New Roman" w:eastAsia="Times New Roman" w:cs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2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113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Определяются дополнительными соглашениями к заключенному договору</w:t>
            </w:r>
          </w:p>
        </w:tc>
      </w:tr>
    </w:tbl>
    <w:p>
      <w:pPr>
        <w:pStyle w:val="Normal"/>
        <w:spacing w:before="0" w:after="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2.2. Требования к срокам выполнения работ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>2.2.1. Работы выполняются в следующие сроки:</w:t>
      </w:r>
    </w:p>
    <w:p>
      <w:pPr>
        <w:pStyle w:val="Normal"/>
        <w:numPr>
          <w:ilvl w:val="0"/>
          <w:numId w:val="5"/>
        </w:numPr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>Срок начала выполнения работ: с даты, следующей за датой заключения Договора.</w:t>
      </w:r>
    </w:p>
    <w:p>
      <w:pPr>
        <w:pStyle w:val="Normal"/>
        <w:numPr>
          <w:ilvl w:val="0"/>
          <w:numId w:val="5"/>
        </w:numPr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>Срок окончания выполнения работ: до 31.12.2026г.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>2.2.2. В соответствии с календарным графиком выполнения работ.</w:t>
      </w:r>
    </w:p>
    <w:p>
      <w:pPr>
        <w:pStyle w:val="Normal"/>
        <w:spacing w:lineRule="auto" w:line="240" w:before="57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Таблица 2. График выполнения работ</w:t>
      </w:r>
    </w:p>
    <w:tbl>
      <w:tblPr>
        <w:tblW w:w="9641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698"/>
        <w:gridCol w:w="3554"/>
        <w:gridCol w:w="2070"/>
        <w:gridCol w:w="3318"/>
      </w:tblGrid>
      <w:tr>
        <w:trPr>
          <w:cantSplit w:val="true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40" w:after="40"/>
              <w:ind w:left="57" w:right="57" w:hanging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40" w:after="40"/>
              <w:ind w:left="57" w:right="57" w:hanging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40" w:after="40"/>
              <w:ind w:left="57" w:right="57" w:hanging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График</w:t>
            </w:r>
          </w:p>
        </w:tc>
      </w:tr>
      <w:tr>
        <w:trPr>
          <w:cantSplit w:val="true"/>
        </w:trPr>
        <w:tc>
          <w:tcPr>
            <w:tcW w:w="6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40" w:after="40"/>
              <w:ind w:left="57" w:right="57" w:hanging="0"/>
              <w:rPr>
                <w:rFonts w:ascii="Times New Roman" w:hAnsi="Times New Roman" w:eastAsia="Times New Roman" w:cs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5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40" w:after="40"/>
              <w:ind w:left="57" w:right="57" w:hanging="0"/>
              <w:rPr>
                <w:rFonts w:ascii="Times New Roman" w:hAnsi="Times New Roman" w:eastAsia="Times New Roman" w:cs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40" w:after="40"/>
              <w:ind w:left="57" w:right="57" w:hanging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Начало работ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40" w:after="40"/>
              <w:ind w:left="57" w:right="57" w:hanging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Окончание работ</w:t>
            </w:r>
          </w:p>
        </w:tc>
      </w:tr>
      <w:tr>
        <w:trPr/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59" w:before="40" w:after="40"/>
              <w:ind w:right="57" w:hanging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40"/>
              <w:ind w:left="57" w:right="57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Проектно-изыскательские работы. Разработка и предоставление Заказчику рабочей документации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40"/>
              <w:ind w:left="57" w:right="57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40"/>
              <w:ind w:left="57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 течение 20 календарных дней</w:t>
            </w:r>
          </w:p>
        </w:tc>
      </w:tr>
      <w:tr>
        <w:trPr/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59" w:before="40" w:after="40"/>
              <w:ind w:right="57" w:hanging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40"/>
              <w:ind w:left="57" w:right="57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Строительно-монтажные работы по строительству и реконструкции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40"/>
              <w:ind w:left="57" w:right="57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40"/>
              <w:ind w:left="57" w:right="57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 течение 45 календарных дней</w:t>
            </w:r>
          </w:p>
        </w:tc>
      </w:tr>
    </w:tbl>
    <w:p>
      <w:pPr>
        <w:sectPr>
          <w:footerReference w:type="default" r:id="rId2"/>
          <w:type w:val="nextPage"/>
          <w:pgSz w:w="11906" w:h="16838"/>
          <w:pgMar w:left="1935" w:right="850" w:gutter="0" w:header="0" w:top="993" w:footer="425" w:bottom="984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auto" w:line="240" w:before="0" w:after="12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2.3. Требования к качеству работ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left="0" w:hanging="0"/>
        <w:outlineLvl w:val="0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x-none" w:eastAsia="x-none"/>
        </w:rPr>
        <w:t>Таблица</w:t>
      </w:r>
      <w:r>
        <w:rPr>
          <w:rFonts w:cs="Times New Roman" w:ascii="Times New Roman" w:hAnsi="Times New Roman"/>
          <w:color w:val="000000"/>
          <w:sz w:val="24"/>
          <w:szCs w:val="24"/>
          <w:lang w:eastAsia="x-none"/>
        </w:rPr>
        <w:t xml:space="preserve"> 3</w:t>
      </w:r>
      <w:r>
        <w:rPr>
          <w:rFonts w:cs="Times New Roman" w:ascii="Times New Roman" w:hAnsi="Times New Roman"/>
          <w:color w:val="000000"/>
          <w:sz w:val="24"/>
          <w:szCs w:val="24"/>
          <w:lang w:val="x-none" w:eastAsia="x-none"/>
        </w:rPr>
        <w:t xml:space="preserve">. Требования к </w:t>
      </w:r>
      <w:r>
        <w:rPr>
          <w:rFonts w:cs="Times New Roman" w:ascii="Times New Roman" w:hAnsi="Times New Roman"/>
          <w:color w:val="000000"/>
          <w:sz w:val="24"/>
          <w:szCs w:val="24"/>
          <w:lang w:eastAsia="x-none"/>
        </w:rPr>
        <w:t>качеству работ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left="0" w:hanging="0"/>
        <w:outlineLvl w:val="0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x-none"/>
        </w:rPr>
        <w:t>«ОКПД2 42.22.22.120 Мероприятия по строительству, реконструкции электрических сетей до 35 кВ и организации коммерческого учета электрической энергии для технологического присоединения потребителей (в том числе ПИР) на территории филиала "Электрические сети ЕАО"»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left="0" w:hanging="0"/>
        <w:outlineLvl w:val="0"/>
        <w:rPr>
          <w:rFonts w:ascii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x-none"/>
        </w:rPr>
      </w:r>
    </w:p>
    <w:tbl>
      <w:tblPr>
        <w:tblW w:w="16037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VBand="1" w:noHBand="0" w:lastColumn="0" w:firstColumn="1" w:lastRow="0" w:firstRow="1"/>
      </w:tblPr>
      <w:tblGrid>
        <w:gridCol w:w="707"/>
        <w:gridCol w:w="1987"/>
        <w:gridCol w:w="10390"/>
        <w:gridCol w:w="1543"/>
        <w:gridCol w:w="1410"/>
      </w:tblGrid>
      <w:tr>
        <w:trPr>
          <w:trHeight w:val="775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параметра</w:t>
            </w:r>
          </w:p>
        </w:tc>
        <w:tc>
          <w:tcPr>
            <w:tcW w:w="10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Требование заказчика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2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062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9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03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Согласие с требованием/ указание характеристик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выполнению работ</w:t>
            </w:r>
          </w:p>
        </w:tc>
      </w:tr>
      <w:tr>
        <w:trPr>
          <w:trHeight w:val="356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2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Общие требования выполнения работ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1987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ind w:left="1224" w:hanging="0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10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 работы по проектированию в соответствии с требованиями нормативно-технических документов (НТД), определяющих требования к  рабочей документации: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"Градостроительный кодекс Российской Федерации" от 29.12.2004 N 190-ФЗ (ред. от 02.07.2021) (с изм. и доп., вступ. в силу с 01.10.2021);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ПУЭ-7 - Справочная информация: "Правила устройства электроустановок (ПУЭ)";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 Р 21.101-2020 (приказ Росстандарта от 23.06.2020 N 282-ст, ИУС 9-2020) Система проектной документации для строительства (СПДС). Основные требования к проектной и рабочей документации.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ФЗ-123 «Технический регламент о требованиях пожарной безопасности» с изменениями на 14.07.2022.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ПУЭ и ПТЭ (действующие издания).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технологического функционирования электроэнергетических систем, утверждены постановлением Правительства Российской Федерации, постановление правительства от 13.08.2018 № 937с изменениями на 30.12.2022 года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Техническая политика Группы РусГидро (введена в действие Приказом АО «ДРСК» от 28.04.2022 №220 «О вводе в действие Технической политики Группы РусГидро»).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Регламент формирования, согласования и утверждения сметной документации ОАО «ДРСК».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Обзорная карта климатического районирования по видам гололёдно-морозевых явлений в регионах присутствия АО «ДРСК»; Региональные карты климатического районирования (далее РККР) для территории Амурской области, Приморского края, Хабаровского края, Еврейской автономной области и республики Саха (Якутия) (введено в действие Приказом АО «ДРСК» № 386 от 18.10.2021).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Национальный стандарт Российской Федерации ГОСТ Р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Национальный стандарт Российской Федерации ГОСТ Р 57114-2022 (приказ Росстандарта от 29.12.2022 N 1683-ст)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"Инструкция по проектированию городских электрических сетей. РД 34.20.185-94" (утв. Минтопэнерго России 07.07.1994, РАО "ЕЭС России" 31.05.1994) (с изм. от 29.06.1999);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Лесной кодекс Российской Федерации.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Методика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Министерства строительства и ЖКХ РФ от 04.08.2020 № 421/пр.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 от 16.04.2021 № 376, утверждённой приказом Минстроя России от 11 декабря 2020 г. № 774/пр , с изм. от 22.04.2022 № 317/пр, от 26.07.2022 № 611/пр.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 от 16.04.2021 № 377, утверждённой приказом Минстроя России от 21 декабря 2020 г. № 812/пр., с изм. от 02.09.2021 № 636/пр.Постановление Правительства РФ от 5 марта 2007 г. N 145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случае если какой-либо из указанных в настоящих Технических требованиях ГОСТ или нормативный документ был отменен в связи с выпуском новой редакции стандарта, то Участнику необходимо применять ГОСТ или нормативный документ, принятый в его развитие.ГОСТ Р 21.1101-2020 Система проектной документации для строительства (СПДС). Основные требования к проектной и рабочей документации.ФЗ-123 «Технический регламент о требованиях пожарной безопасности» с изменениями на 30.04.2021г.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Другая действующая на момент разработки рабочей документы РФ и нормативные акты к ним, техническая политика ПАО «РусГидро».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Строительно-монтажные работы по Объекту подлежат выполнению в строгом соответствии с утвержденной рабочей документацией, 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ПУЭ (действующее издание);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ПТЭ (действующее издание);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СП 48.13330.2019 Организация строительства;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-СП 68.13330.2017 Приемка в эксплуатацию законченных строительством объектов. Основные положения;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СП 76.13330.2016 Электротехнические устройства;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СП 126.13330.2017 Геодезические работы в строительстве;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РД-11-02-2006 «Требования к исполнительной документации»;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РД-11-05-2007 «Порядок ведения общего журнала работ»;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 1.13-07 «Инструкция по оформлению приемо-сдаточной документации по электромонтажным работам»;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Постановление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СНиП 12-03-2001 «Безопасность труда в строительстве», часть 1 «Общие требования»;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СНиП 12-04-2002 «Безопасность труда в строительстве», часть 2 «Строительное производство»;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ГОСТ 12.3.032-84 ССБТ «Работы электромонтажные. Общие требования безопасности»;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Правила безопасности при строительстве линий электропередачи и производства электромонтажных работ (РД 153-34.3-03.285-2002);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Правила пожарной безопасности;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Правила устройства и безопасной эксплуатации грузоподъемных кранов;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Правила по охране труда при эксплуатации электроустановок, утвержденных приказом Министерства труда и социальной защиты РФ от 15 декабря 2020 № 903 н;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Иные действующие законодательные и нормативно-технические документы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Еврейской Автономной Области и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993" w:leader="none"/>
              </w:tabs>
              <w:spacing w:lineRule="auto" w:line="240" w:before="0" w:after="0"/>
              <w:ind w:firstLine="493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и рабочей документации.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Согласие с требованием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-//-</w:t>
            </w:r>
          </w:p>
        </w:tc>
      </w:tr>
      <w:tr>
        <w:trPr>
          <w:trHeight w:val="699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10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Требования к проектно изыскательским работам: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37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Выполнить инженерно-геодезические изыскания на местности для подготовки топографической основы, в том числе подеревную геодезическую съемку, нанести плана трассы линий электропередач , на топографическую основу, согласовать с Заказчиком план трассы линий электропередач, на топографической основе.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37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Получить технические условия (согласования) необходимые для проведения работ по разработке рабочей и сметной документации от: специализированных организаций и балансодержателей инженерных сетей и коммуникаций, органов местного самоуправления, а также третьих лиц на земельных участках которых будут располагаться объекты строительства (при необходимости).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37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Картографический материал предоставить в масштабе 1:500 на бумажном и электронном носителях;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37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 состав рабочей документации включить: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лист согласований;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ведомость ссылочных и прилагаемых документов;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краткая пояснительная записка с описанием строительных и электротехнических решений (климатические условия района, начальная точка трассы, конечная точка трассы, количество пересечений с инженерными сооружениями)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планы прохождения трасс линий электропередач на топографическом плане (топографическая съемка);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расчет сечение провода (кабеля) исходя из планируемых нагрузок;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общий вид, план расположения оборудования, габаритные, установочные и присоединительные размеры;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поопорная схема ВЛ от последней опоры действующей ВЛ;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ведомость опор;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ведомости и схемы пересечений;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профили мест пересечения линий электропередач с линейными объектами и инженерными сооружениями с указанием габаритов;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мероприятия по защите от грозовых перенапряжений;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мероприятия по установке птицезащитных устройств в необходимом количестве, согласно требований СТО 34.01-2.2-010-2015 «птицезащитные устройства для воздушных линий электропередачи и открытых распределительных устройств подстанций»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способы прокладки КЛ (схема, чертёж);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чертеж защита кабеля на опоре ВЛ;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схемы закрепления опор в грунте;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схема установки опор;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схемы заземления элементов электроустановок;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тип опор и фундаментов;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принципиальная схема электроснабжения;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схему заходов и присоединений к ПС, РП и ТП;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конструктивно-строительные решения 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спецификацию материалов, изделий, конструкций и оборудования;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в локальных сметных расчётах предусмотреть затраты на снос и утилизацию зелёных насаждений основываясь на подеревной геодезической съемке;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пояснительная записка к сметной документации, в т.ч. сметная документация;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отдельные локальные сметные расчёты 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перечень исполнительно-технической документации;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лист регистрации замечаний и изменений.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37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Использование форматов при передаче документации в электронном виде  в соответствии с приложением № 3 к настоящему Техническому требованию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37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Разработанная рабочая и сметная документация является собственностью Заказчика и передача её третьим лицам без его согласия запрещается.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37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Исключительные права на разработанную в рамках договора рабочую,  документацию и на результаты выполнения изыскательских работ принадлежат Заказчику с момента приемки рабочей и сметной документации и результата выполнения изыскательских работ. Заказчик вправе использовать разработанную Подрядчиком в рамках договора рабочую и сметную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Подрядчик не вправе требовать предоставления права на участие в реализации проекта, предусмотренного документацией.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37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Проектная организация включает в стоимость проектных работ затраты, и осуществляет от лица Заказчика получение по проекту всех необходимых согласований и заключений.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37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Проектная организация обеспечивает согласование разработанной сметной и рабочей документации с заинтересованными государственными надзорными органами, организациями природопользования и охраны окружающей среды, земле и лесопользователями, эксплуатирующими организациями инженерных коммуникаций и другими заинтересованными организациями.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37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Проектная организация устраняет за свой счет все замечания к рабочей и сметной документации, полученные от Заказчика.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выполнению строительно-монтажных работ: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Месторасположение объекта строительства, реконструкции: Еврейская автономная область.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 выполнению СМР приступить только после письменного согласования Заказчиком рабочей документации.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назначение приказом подрядчика ответственного лица на объекте за соблюдением требований техники безопасности, пожарной безопасности и охраны окружающей среды;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оформление допуска для производства работ в зоне действующей ЛЭП. Согласование с заказчиком Календарного графика выполнения работ.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Доставка строительной техники к месту производства работ, доставка к месту работы необходимых материалов (все материалы и оборудование для производства работ доставляются на место проведения работ Подрядчиком самостоятельно).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Организовать выполнение работ с учетом минимизации времени отключения ЛЭП для производства работ 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Работы выполнять при наличии уведомления о начале производства работ.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Обеспечить в установленном у Заказчика порядке оформление наряд-допуска на производство работ.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Подготовку рабочих мест и допуск к выполнению работ выполняет персонал Заказчика.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Работы, производимые в действующих электроустановках, необходимо проводить с согласованными действиями и мероприятиями по охране труда согласно требованиям главы XLVI "Охрана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Подрядчик самостоятельно согласовывает производство работ со смежными землепользователями, с заинтересованными организациями, физическими лицами и получает разрешение на производство работ (ордер на производство земляных работ), в установленном законом порядке;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Подрядчик самостоятельно извещает заинтересованные организации и сетедержателей о начале выполнения работ в подконтрольной зоне их объектов.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Заказчик может дать письменное распоряжение, обязательное для Подрядчика, с указанием: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увеличить или сократить объем любой работы, включенной в Договор;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исключить любую работу;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изменить характер или качество, или вид любой части работы;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 выполнить дополнительную работу любого характера, необходимую для завершения строительства объекта;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материалам и оборудованию, необходимому для выполнения работ и основные требования к качеству поставляемых материально-технических ресурсов: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Поставка оборудования и материалов осуществляется Подрядчиком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(за исключением материалов представленных в таблице 4 настоящих ТТ)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6"/>
                <w:szCs w:val="26"/>
                <w:shd w:fill="FFFFFF" w:val="clear"/>
                <w:lang w:val="ru-RU"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опросными листами и заказными спецификациями, разработанными в составе рабочей документации.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Подрядчик в обязательном порядке письменно согласовывает с Заказчиком поставщика оборудования и материалов.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Поставку материалов и оборудования на объект, разгрузку и хранение материалов и конструкций осуществляет Подрядчик: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Поставляемая Подрядчиком продукция должная соответствовать содержанию опросных листов и спецификаций, определенных проектом, включая указания производителя продукции. Тип и состав оборудования, закупаемого Подрядчиком, может быть изменен только в случае предварительного согласования с Заказчиком;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испытаний. Надлежащее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260" w:leader="none"/>
                <w:tab w:val="left" w:pos="216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Материалы и оборудование, высвободившиеся после демонтажа (при наличии), вывозятся Подрядчиком на склад базы структурного подразделения филиала АО «ДРСК» «Электрические Сети ЕАО», в чьем ведомстве находится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Согласие с требованием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-//-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результатам работ</w:t>
            </w:r>
          </w:p>
        </w:tc>
      </w:tr>
      <w:tr>
        <w:trPr>
          <w:trHeight w:val="748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Требования к порядку приемки результатов работ</w:t>
            </w:r>
          </w:p>
        </w:tc>
        <w:tc>
          <w:tcPr>
            <w:tcW w:w="10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tabs>
                <w:tab w:val="clear" w:pos="408"/>
                <w:tab w:val="left" w:pos="108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Работы по проектированию считаются выполненными после утверждения Заказчиком рабочей, сметной документации и получения положительного заключения ведомственной экспертизы или в случае отсутствия необходимости проведения экспертизы - после утверждения Заказчиком.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08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Разработанную и согласованную рабочую и сметную документацию передать Заказчику: на бумажном носителе – в 3-х экз.; на электронном носителе: flash – носителе USB, компакт-диске CD-R или CD-RW, понаписанную и сканированную в формате pdf, а также в редактируемом формате – в 1 экз.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08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408"/>
                <w:tab w:val="left" w:pos="1080" w:leader="none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Использование форматов при передаче документов в электронном виде: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080" w:leader="none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  <w:tbl>
            <w:tblPr>
              <w:tblW w:w="9088" w:type="dxa"/>
              <w:jc w:val="left"/>
              <w:tblInd w:w="291" w:type="dxa"/>
              <w:tblLayout w:type="fixed"/>
              <w:tblCellMar>
                <w:top w:w="0" w:type="dxa"/>
                <w:left w:w="13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3188"/>
              <w:gridCol w:w="5043"/>
              <w:gridCol w:w="857"/>
            </w:tblGrid>
            <w:tr>
              <w:trPr>
                <w:trHeight w:val="522" w:hRule="atLeast"/>
              </w:trPr>
              <w:tc>
                <w:tcPr>
                  <w:tcW w:w="3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Вид документа</w:t>
                  </w:r>
                </w:p>
              </w:tc>
              <w:tc>
                <w:tcPr>
                  <w:tcW w:w="50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Используемое приложение</w:t>
                  </w:r>
                </w:p>
              </w:tc>
              <w:tc>
                <w:tcPr>
                  <w:tcW w:w="8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Формат</w:t>
                  </w:r>
                </w:p>
              </w:tc>
            </w:tr>
            <w:tr>
              <w:trPr/>
              <w:tc>
                <w:tcPr>
                  <w:tcW w:w="3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Текстовая часть, описания</w:t>
                  </w:r>
                </w:p>
              </w:tc>
              <w:tc>
                <w:tcPr>
                  <w:tcW w:w="50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 xml:space="preserve">MS Word 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</w:p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Adobe Acrobat</w:t>
                  </w:r>
                </w:p>
              </w:tc>
              <w:tc>
                <w:tcPr>
                  <w:tcW w:w="8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.doc</w:t>
                  </w:r>
                </w:p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.pdf</w:t>
                  </w:r>
                </w:p>
              </w:tc>
            </w:tr>
            <w:tr>
              <w:trPr/>
              <w:tc>
                <w:tcPr>
                  <w:tcW w:w="3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Таблицы</w:t>
                  </w:r>
                </w:p>
              </w:tc>
              <w:tc>
                <w:tcPr>
                  <w:tcW w:w="50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 xml:space="preserve">MS Excel  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</w:p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Adobe Acrobat</w:t>
                  </w:r>
                </w:p>
              </w:tc>
              <w:tc>
                <w:tcPr>
                  <w:tcW w:w="8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.xls</w:t>
                  </w:r>
                </w:p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.pdf</w:t>
                  </w:r>
                </w:p>
              </w:tc>
            </w:tr>
            <w:tr>
              <w:trPr/>
              <w:tc>
                <w:tcPr>
                  <w:tcW w:w="3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Базы данных</w:t>
                  </w:r>
                </w:p>
              </w:tc>
              <w:tc>
                <w:tcPr>
                  <w:tcW w:w="50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 xml:space="preserve">MS Excel 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</w:p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Adobe Acrobat</w:t>
                  </w:r>
                </w:p>
              </w:tc>
              <w:tc>
                <w:tcPr>
                  <w:tcW w:w="8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.xls</w:t>
                  </w:r>
                </w:p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.pdf</w:t>
                  </w:r>
                </w:p>
              </w:tc>
            </w:tr>
            <w:tr>
              <w:trPr/>
              <w:tc>
                <w:tcPr>
                  <w:tcW w:w="3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Планы, графики</w:t>
                  </w:r>
                </w:p>
              </w:tc>
              <w:tc>
                <w:tcPr>
                  <w:tcW w:w="50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 xml:space="preserve">MS Project  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</w:p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MS Excel</w:t>
                  </w:r>
                </w:p>
              </w:tc>
              <w:tc>
                <w:tcPr>
                  <w:tcW w:w="8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.mpp</w:t>
                  </w:r>
                </w:p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.xls</w:t>
                  </w:r>
                </w:p>
              </w:tc>
            </w:tr>
            <w:tr>
              <w:trPr/>
              <w:tc>
                <w:tcPr>
                  <w:tcW w:w="3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Чертежи</w:t>
                  </w:r>
                </w:p>
              </w:tc>
              <w:tc>
                <w:tcPr>
                  <w:tcW w:w="50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AutoCAD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и</w:t>
                  </w:r>
                </w:p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Adobe Acrobat</w:t>
                  </w:r>
                </w:p>
              </w:tc>
              <w:tc>
                <w:tcPr>
                  <w:tcW w:w="8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.dwg</w:t>
                  </w:r>
                </w:p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.pdf</w:t>
                  </w:r>
                </w:p>
              </w:tc>
            </w:tr>
            <w:tr>
              <w:trPr/>
              <w:tc>
                <w:tcPr>
                  <w:tcW w:w="3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Графический материал</w:t>
                  </w:r>
                </w:p>
              </w:tc>
              <w:tc>
                <w:tcPr>
                  <w:tcW w:w="50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 xml:space="preserve">MS Photo Editor  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</w:p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Adobe Acrobat</w:t>
                  </w:r>
                </w:p>
              </w:tc>
              <w:tc>
                <w:tcPr>
                  <w:tcW w:w="8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.jpg</w:t>
                  </w:r>
                </w:p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.pdf</w:t>
                  </w:r>
                </w:p>
              </w:tc>
            </w:tr>
            <w:tr>
              <w:trPr>
                <w:trHeight w:val="479" w:hRule="atLeast"/>
              </w:trPr>
              <w:tc>
                <w:tcPr>
                  <w:tcW w:w="3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Электронный архив</w:t>
                  </w:r>
                </w:p>
              </w:tc>
              <w:tc>
                <w:tcPr>
                  <w:tcW w:w="50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WinRar</w:t>
                  </w:r>
                </w:p>
              </w:tc>
              <w:tc>
                <w:tcPr>
                  <w:tcW w:w="8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 xml:space="preserve">.rar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>
              <w:trPr/>
              <w:tc>
                <w:tcPr>
                  <w:tcW w:w="3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Сметная документация</w:t>
                  </w:r>
                </w:p>
              </w:tc>
              <w:tc>
                <w:tcPr>
                  <w:tcW w:w="50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MS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Excel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в формате программы «ГРАНД СМЕТА», позволяющем вести накопительные ведомости по локальным сметам.</w:t>
                  </w:r>
                </w:p>
              </w:tc>
              <w:tc>
                <w:tcPr>
                  <w:tcW w:w="8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xls</w:t>
                  </w:r>
                </w:p>
                <w:p>
                  <w:pPr>
                    <w:pStyle w:val="Normal"/>
                    <w:widowControl w:val="false"/>
                    <w:spacing w:lineRule="auto" w:line="252" w:before="0" w:after="160"/>
                    <w:contextualSpacing/>
                    <w:rPr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gsf</w:t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408"/>
                <w:tab w:val="left" w:pos="1080" w:leader="none"/>
              </w:tabs>
              <w:spacing w:lineRule="auto" w:line="240" w:before="0" w:after="0"/>
              <w:ind w:firstLine="72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*- материалы каждого тома проекта компоновать в одном файле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080" w:leader="none"/>
              </w:tabs>
              <w:spacing w:lineRule="auto" w:line="240" w:before="0" w:after="0"/>
              <w:ind w:firstLine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Согласие с требованием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-//-</w:t>
            </w:r>
          </w:p>
        </w:tc>
      </w:tr>
      <w:tr>
        <w:trPr>
          <w:trHeight w:val="385" w:hRule="atLeast"/>
        </w:trPr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123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firstLine="567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Требования к передаваемой документации при приемке СМР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748" w:hRule="atLeast"/>
        </w:trPr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0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1. Акты выполненных работ КС-2 оформлять </w:t>
            </w:r>
            <w:r>
              <w:rPr>
                <w:rFonts w:ascii="Times New Roman" w:hAnsi="Times New Roman"/>
                <w:i w:val="false"/>
                <w:iCs w:val="false"/>
                <w:color w:val="000000"/>
                <w:kern w:val="0"/>
                <w:sz w:val="24"/>
                <w:szCs w:val="24"/>
              </w:rPr>
              <w:t xml:space="preserve">по объектам в соответствии с </w:t>
            </w:r>
            <w:r>
              <w:rPr>
                <w:rFonts w:ascii="Times New Roman" w:hAnsi="Times New Roman"/>
                <w:i w:val="false"/>
                <w:iCs w:val="false"/>
                <w:color w:val="000000"/>
                <w:kern w:val="0"/>
                <w:sz w:val="24"/>
                <w:szCs w:val="24"/>
                <w:shd w:fill="FFFFFF" w:val="clear"/>
              </w:rPr>
              <w:t>п.1.4.1</w:t>
            </w:r>
            <w:r>
              <w:rPr>
                <w:rFonts w:ascii="Times New Roman" w:hAnsi="Times New Roman"/>
                <w:i w:val="false"/>
                <w:iCs w:val="false"/>
                <w:color w:val="000000"/>
                <w:kern w:val="0"/>
                <w:sz w:val="24"/>
                <w:szCs w:val="24"/>
              </w:rPr>
              <w:t xml:space="preserve"> настоящих ТТ, с указанием наименований объектов и заявителя.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Вместе с актами выполненных работ Заказчик передает исполнительную документацию в следующем кратком объеме: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ab/>
              <w:t>Акт приемки законченного строительства;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ab/>
              <w:t>Акт технической готовности электромонтажных работ;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ab/>
              <w:t>Акт освидетельствования скрытых работ по монтажу заземляющего устройства с исполнительной схемой;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ab/>
              <w:t>Акт освидетельствования скрытых работ на устройство основания под опоры;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ab/>
              <w:t>Акт замеров в натуре габаритов от проводов ВЛ до пересекаемого объекта (при наличии пересечений);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ab/>
              <w:t>Исполнительная схема ЛЭП;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ab/>
              <w:t>Паспорта и сертификаты на примененные материалы, изделия, оборудование;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ab/>
              <w:t>Справка об устранении выявленных замечаний (при наличии);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ab/>
              <w:t xml:space="preserve">Акт (справка) о выполнении технических условий на </w:t>
            </w:r>
            <w:r>
              <w:rPr>
                <w:rFonts w:ascii="Times New Roman" w:hAnsi="Times New Roman"/>
                <w:bCs/>
                <w:color w:val="000000"/>
                <w:kern w:val="0"/>
                <w:sz w:val="24"/>
                <w:szCs w:val="24"/>
              </w:rPr>
              <w:t>пересечение, сближение и параллельное следование трассы ЛЭП с инженерными сетями, автодорогами и другими преградами сторонних организаций.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ab/>
              <w:t>Ордер на производство работ.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ab/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ab/>
              <w:t>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ab/>
      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57" w:right="0" w:hanging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3. Результаты протоколов профиспытаний оборудования электротехнической лабораторией.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1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kern w:val="0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00000"/>
                <w:spacing w:val="-1"/>
                <w:kern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kern w:val="0"/>
                <w:sz w:val="24"/>
                <w:szCs w:val="24"/>
              </w:rPr>
              <w:t>Исполнительная документация оформляется в 3 экземплярах: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firstLine="54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  <w:kern w:val="0"/>
                <w:sz w:val="24"/>
                <w:szCs w:val="24"/>
              </w:rPr>
              <w:t>- 1 экземпляр передается в РЭС;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firstLine="54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  <w:kern w:val="0"/>
                <w:sz w:val="24"/>
                <w:szCs w:val="24"/>
              </w:rPr>
              <w:t xml:space="preserve">- 1 экземпляр в отдел капитального строительства и инвестиций филиала «АО «ДРСК» «ЭС ЕАО» </w:t>
            </w:r>
            <w:r>
              <w:rPr>
                <w:rFonts w:ascii="Times New Roman" w:hAnsi="Times New Roman"/>
                <w:bCs/>
                <w:iCs/>
                <w:color w:val="000000"/>
                <w:spacing w:val="-1"/>
                <w:kern w:val="0"/>
                <w:sz w:val="24"/>
                <w:szCs w:val="24"/>
              </w:rPr>
              <w:t>в бумажном виде и полный отсканированный комплект в формате pdf.</w:t>
            </w:r>
            <w:r>
              <w:rPr>
                <w:rFonts w:ascii="Times New Roman" w:hAnsi="Times New Roman"/>
                <w:spacing w:val="-1"/>
                <w:kern w:val="0"/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firstLine="54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pacing w:val="-1"/>
                <w:kern w:val="0"/>
                <w:sz w:val="24"/>
                <w:szCs w:val="24"/>
              </w:rPr>
              <w:t>- 1 экземпляр остается подрядчику.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firstLine="540"/>
              <w:jc w:val="left"/>
              <w:rPr>
                <w:bCs/>
                <w:iCs/>
                <w:color w:val="000000"/>
                <w:spacing w:val="-1"/>
                <w:sz w:val="24"/>
                <w:szCs w:val="24"/>
              </w:rPr>
            </w:pPr>
            <w:r>
              <w:rPr>
                <w:bCs/>
                <w:iCs/>
                <w:color w:val="000000"/>
                <w:spacing w:val="-1"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408"/>
                <w:tab w:val="left" w:pos="607" w:leader="none"/>
                <w:tab w:val="left" w:pos="851" w:leader="none"/>
                <w:tab w:val="left" w:pos="993" w:leader="none"/>
                <w:tab w:val="left" w:pos="1069" w:leader="none"/>
                <w:tab w:val="left" w:pos="2167" w:leader="none"/>
              </w:tabs>
              <w:spacing w:lineRule="auto" w:line="240"/>
              <w:ind w:left="215" w:hanging="0"/>
              <w:jc w:val="both"/>
              <w:rPr>
                <w:color w:val="000000"/>
              </w:rPr>
            </w:pPr>
            <w:r>
              <w:rPr>
                <w:i/>
                <w:iCs/>
                <w:color w:val="000000"/>
                <w:kern w:val="0"/>
                <w:sz w:val="24"/>
                <w:szCs w:val="24"/>
              </w:rPr>
              <w:t>Фактическое выполнение строительно-монтажных работ подтверждается фотоотчетом.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361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ind w:left="123" w:hanging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617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rFonts w:ascii="Times New Roman" w:hAnsi="Times New Roman" w:eastAsia="Times New Roman" w:cs="Times New Roman"/>
                <w:i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0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ind w:firstLine="454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 соответствии с условиями п.8 Договора.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Согласие с требованием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Требования при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Привлечении на субподряд</w:t>
            </w:r>
          </w:p>
        </w:tc>
        <w:tc>
          <w:tcPr>
            <w:tcW w:w="10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51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В соответствии с</w:t>
            </w:r>
            <w:r>
              <w:rPr>
                <w:rFonts w:eastAsia="Times New Roman" w:cs="Times New Roman"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условиями Договора.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Согласие с требованием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-//-</w:t>
            </w:r>
          </w:p>
        </w:tc>
      </w:tr>
    </w:tbl>
    <w:p>
      <w:pPr>
        <w:sectPr>
          <w:footerReference w:type="default" r:id="rId3"/>
          <w:footerReference w:type="first" r:id="rId4"/>
          <w:type w:val="nextPage"/>
          <w:pgSz w:orient="landscape" w:w="16838" w:h="11906"/>
          <w:pgMar w:left="426" w:right="678" w:gutter="0" w:header="0" w:top="575" w:footer="0" w:bottom="692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before="0" w:after="1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ind w:left="643" w:hanging="0"/>
        <w:jc w:val="center"/>
        <w:rPr>
          <w:color w:val="000000"/>
        </w:rPr>
      </w:pPr>
      <w:r>
        <w:rPr>
          <w:b/>
          <w:color w:val="000000"/>
          <w:sz w:val="24"/>
          <w:szCs w:val="24"/>
          <w:lang w:val="ru-RU"/>
        </w:rPr>
        <w:t xml:space="preserve">3. </w:t>
      </w:r>
      <w:r>
        <w:rPr>
          <w:b/>
          <w:color w:val="000000"/>
          <w:sz w:val="24"/>
          <w:szCs w:val="24"/>
          <w:shd w:fill="FFFFFF" w:val="clear"/>
          <w:lang w:val="ru-RU"/>
        </w:rPr>
        <w:t>Требования к документации по ценообразованию.</w:t>
      </w:r>
    </w:p>
    <w:p>
      <w:pPr>
        <w:pStyle w:val="Normal"/>
        <w:spacing w:before="0" w:after="0"/>
        <w:ind w:firstLine="737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x-none"/>
        </w:rPr>
        <w:t>3.1. 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коэффициента снижения Ki (%) (тендерный коэффициент) (коэффициент указывается с точностью до третьего знака после запятой).</w:t>
      </w:r>
    </w:p>
    <w:p>
      <w:pPr>
        <w:pStyle w:val="Normal"/>
        <w:spacing w:before="0" w:after="0"/>
        <w:ind w:firstLine="737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x-none"/>
        </w:rPr>
        <w:t>3.2. Коэффициент снижения служит только для оценки и сопоставления предложений Участников по соответствующим ценовым (стоимостным) критериям оценки к Документации о закупке «Порядок и критерии оценки и сопоставления заявок» (в договоре закрепляются единичные расценки работ, предложенные в заявке Победителем).</w:t>
      </w:r>
    </w:p>
    <w:p>
      <w:pPr>
        <w:pStyle w:val="Normal"/>
        <w:spacing w:before="0" w:after="0"/>
        <w:ind w:hanging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x-none"/>
        </w:rPr>
        <w:tab/>
        <w:t xml:space="preserve">Указываемый Участником в коммерческом предложении понижающий коэффициент Ki -тендерный коэффициент должен быть един для всех позиций Таблиц №1 </w:t>
      </w:r>
      <w:r>
        <w:rPr>
          <w:rFonts w:cs="Times New Roman" w:ascii="Times New Roman" w:hAnsi="Times New Roman"/>
          <w:color w:val="000000"/>
          <w:sz w:val="24"/>
          <w:szCs w:val="24"/>
          <w:lang w:val="x-none"/>
        </w:rPr>
        <w:t>Перечня стоимости работ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x-none"/>
        </w:rPr>
        <w:t xml:space="preserve"> (Приложения 1 Технических требований), применение разных понижающих коэффициентов единичных расценок Таблиц №1 (к сметам №1-30) недопустимо.</w:t>
      </w:r>
    </w:p>
    <w:p>
      <w:pPr>
        <w:pStyle w:val="Normal"/>
        <w:spacing w:before="0" w:after="0"/>
        <w:ind w:firstLine="737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x-none"/>
        </w:rPr>
        <w:t>3.3. 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>
      <w:pPr>
        <w:pStyle w:val="Normal"/>
        <w:spacing w:before="0" w:after="0"/>
        <w:ind w:firstLine="737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x-none"/>
        </w:rPr>
        <w:t>3.4. Дополнительные документы по ценообразованию (сметная документация) в состав заявки Участника не включается.</w:t>
      </w:r>
    </w:p>
    <w:p>
      <w:pPr>
        <w:pStyle w:val="Normal"/>
        <w:widowControl/>
        <w:suppressAutoHyphens w:val="false"/>
        <w:bidi w:val="0"/>
        <w:spacing w:lineRule="auto" w:line="276" w:before="0" w:after="0"/>
        <w:ind w:left="0" w:right="0" w:hanging="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</w:r>
    </w:p>
    <w:p>
      <w:pPr>
        <w:pStyle w:val="Normal"/>
        <w:widowControl/>
        <w:suppressAutoHyphens w:val="false"/>
        <w:bidi w:val="0"/>
        <w:spacing w:lineRule="auto" w:line="276" w:before="0" w:after="0"/>
        <w:ind w:left="0" w:right="0" w:hanging="0"/>
        <w:jc w:val="both"/>
        <w:rPr>
          <w:color w:val="000000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ab/>
        <w:tab/>
        <w:t>4. Требования к документации по ценообразованию на этапе исполнения договора.</w:t>
      </w:r>
    </w:p>
    <w:p>
      <w:pPr>
        <w:pStyle w:val="Normal"/>
        <w:widowControl/>
        <w:suppressAutoHyphens w:val="false"/>
        <w:bidi w:val="0"/>
        <w:spacing w:before="0" w:after="0"/>
        <w:ind w:left="0" w:right="0" w:firstLine="567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4.1. Порядок расчета стоимости работ по дополнительным соглашениям устанавливается пунктом 3 договора подряда.</w:t>
      </w:r>
    </w:p>
    <w:p>
      <w:pPr>
        <w:pStyle w:val="Normal"/>
        <w:widowControl/>
        <w:tabs>
          <w:tab w:val="clear" w:pos="408"/>
          <w:tab w:val="left" w:pos="426" w:leader="none"/>
          <w:tab w:val="left" w:pos="567" w:leader="none"/>
          <w:tab w:val="left" w:pos="1276" w:leader="none"/>
        </w:tabs>
        <w:suppressAutoHyphens w:val="false"/>
        <w:bidi w:val="0"/>
        <w:spacing w:lineRule="auto" w:line="240" w:before="60" w:after="60"/>
        <w:ind w:left="0" w:right="0" w:firstLine="567"/>
        <w:jc w:val="both"/>
        <w:rPr>
          <w:color w:val="000000"/>
        </w:rPr>
      </w:pPr>
      <w:r>
        <w:rPr>
          <w:rFonts w:eastAsia="" w:cs="Times New Roman" w:ascii="Times New Roman" w:hAnsi="Times New Roman" w:eastAsiaTheme="majorEastAsia"/>
          <w:bCs/>
          <w:color w:val="000000"/>
          <w:sz w:val="24"/>
          <w:szCs w:val="24"/>
          <w:shd w:fill="FFFFFF" w:val="clear"/>
          <w:lang w:val="x-none"/>
        </w:rPr>
        <w:t>4.2.</w:t>
        <w:tab/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2 к настоящим Техническим требованиям.</w:t>
      </w:r>
    </w:p>
    <w:p>
      <w:pPr>
        <w:pStyle w:val="Normal"/>
        <w:widowControl w:val="false"/>
        <w:tabs>
          <w:tab w:val="clear" w:pos="408"/>
          <w:tab w:val="left" w:pos="989" w:leader="none"/>
        </w:tabs>
        <w:spacing w:before="0" w:after="0"/>
        <w:ind w:left="709" w:firstLine="28"/>
        <w:contextualSpacing/>
        <w:jc w:val="both"/>
        <w:rPr>
          <w:rFonts w:ascii="Times New Roman" w:hAnsi="Times New Roman"/>
          <w:color w:val="000000"/>
          <w:sz w:val="24"/>
          <w:szCs w:val="24"/>
          <w:highlight w:val="cyan"/>
        </w:rPr>
      </w:pPr>
      <w:r>
        <w:rPr>
          <w:rFonts w:ascii="Times New Roman" w:hAnsi="Times New Roman"/>
          <w:color w:val="000000"/>
          <w:sz w:val="24"/>
          <w:szCs w:val="24"/>
          <w:highlight w:val="cyan"/>
        </w:rPr>
      </w:r>
    </w:p>
    <w:p>
      <w:pPr>
        <w:pStyle w:val="Normal"/>
        <w:widowControl w:val="false"/>
        <w:tabs>
          <w:tab w:val="clear" w:pos="408"/>
          <w:tab w:val="left" w:pos="989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ind w:left="643" w:hanging="0"/>
        <w:jc w:val="center"/>
        <w:rPr>
          <w:color w:val="000000"/>
        </w:rPr>
      </w:pPr>
      <w:r>
        <w:rPr>
          <w:rFonts w:eastAsia="Calibri"/>
          <w:b/>
          <w:color w:val="000000"/>
          <w:sz w:val="24"/>
          <w:szCs w:val="24"/>
          <w:lang w:val="ru-RU" w:eastAsia="en-US"/>
        </w:rPr>
        <w:t>5. Приложения</w:t>
      </w:r>
    </w:p>
    <w:p>
      <w:pPr>
        <w:pStyle w:val="ListParagraph"/>
        <w:ind w:left="643" w:hanging="0"/>
        <w:rPr>
          <w:color w:val="000000"/>
          <w:shd w:fill="FFFF00" w:val="clear"/>
        </w:rPr>
      </w:pPr>
      <w:r>
        <w:rPr>
          <w:color w:val="000000"/>
          <w:shd w:fill="FFFF00" w:val="clear"/>
        </w:rPr>
      </w:r>
    </w:p>
    <w:p>
      <w:pPr>
        <w:pStyle w:val="Normal"/>
        <w:spacing w:before="0" w:after="0"/>
        <w:ind w:firstLine="737"/>
        <w:jc w:val="both"/>
        <w:rPr>
          <w:color w:val="000000"/>
        </w:rPr>
      </w:pPr>
      <w:r>
        <w:rPr>
          <w:rFonts w:cs="Times New Roman" w:ascii="Times New Roman" w:hAnsi="Times New Roman"/>
          <w:b w:val="false"/>
          <w:bCs w:val="false"/>
          <w:i/>
          <w:iCs/>
          <w:color w:val="000000"/>
          <w:sz w:val="24"/>
          <w:szCs w:val="24"/>
          <w:shd w:fill="FFFFFF" w:val="clear"/>
          <w:lang w:val="x-none"/>
        </w:rPr>
        <w:t>1. Протокол согласования (ведомость) договорной цены;</w:t>
      </w:r>
    </w:p>
    <w:p>
      <w:pPr>
        <w:pStyle w:val="Normal"/>
        <w:spacing w:before="0" w:after="0"/>
        <w:ind w:firstLine="737"/>
        <w:jc w:val="both"/>
        <w:rPr>
          <w:color w:val="000000"/>
        </w:rPr>
      </w:pPr>
      <w:r>
        <w:rPr>
          <w:rFonts w:cs="Times New Roman" w:ascii="Times New Roman" w:hAnsi="Times New Roman"/>
          <w:b w:val="false"/>
          <w:bCs w:val="false"/>
          <w:i/>
          <w:iCs/>
          <w:color w:val="000000"/>
          <w:sz w:val="24"/>
          <w:szCs w:val="24"/>
          <w:shd w:fill="FFFFFF" w:val="clear"/>
          <w:lang w:val="x-none"/>
        </w:rPr>
        <w:t>2. Требования к оформлению и сотавлению сметной документации.</w:t>
      </w:r>
    </w:p>
    <w:p>
      <w:pPr>
        <w:pStyle w:val="Normal"/>
        <w:spacing w:before="0" w:after="0"/>
        <w:ind w:firstLine="737"/>
        <w:jc w:val="both"/>
        <w:rPr>
          <w:color w:val="000000"/>
        </w:rPr>
      </w:pPr>
      <w:r>
        <w:rPr>
          <w:rFonts w:cs="Times New Roman" w:ascii="Times New Roman" w:hAnsi="Times New Roman"/>
          <w:b w:val="false"/>
          <w:bCs w:val="false"/>
          <w:i/>
          <w:iCs/>
          <w:color w:val="000000"/>
          <w:sz w:val="24"/>
          <w:szCs w:val="24"/>
          <w:shd w:fill="FFFFFF" w:val="clear"/>
          <w:lang w:val="x-none"/>
        </w:rPr>
        <w:t>3. Акт освидетельствования вырубки и очистки территории объекта капитального строительства.</w:t>
      </w:r>
    </w:p>
    <w:p>
      <w:pPr>
        <w:pStyle w:val="Style28"/>
        <w:widowControl w:val="false"/>
        <w:numPr>
          <w:ilvl w:val="0"/>
          <w:numId w:val="0"/>
        </w:numPr>
        <w:shd w:val="clear" w:color="auto" w:fill="FFFFFF"/>
        <w:tabs>
          <w:tab w:val="clear" w:pos="408"/>
          <w:tab w:val="left" w:pos="284" w:leader="none"/>
          <w:tab w:val="left" w:pos="426" w:leader="none"/>
        </w:tabs>
        <w:spacing w:lineRule="auto" w:line="240" w:before="0" w:after="0"/>
        <w:ind w:left="0" w:right="0" w:hanging="0"/>
        <w:contextualSpacing/>
        <w:jc w:val="both"/>
        <w:rPr>
          <w:highlight w:val="none"/>
          <w:shd w:fill="FFFFFF" w:val="clear"/>
        </w:rPr>
      </w:pPr>
      <w:r>
        <w:rPr>
          <w:rFonts w:ascii="Times New Roman" w:hAnsi="Times New Roman"/>
          <w:spacing w:val="-2"/>
          <w:sz w:val="26"/>
          <w:szCs w:val="26"/>
          <w:shd w:fill="FFFFFF" w:val="clear"/>
        </w:rPr>
        <w:t xml:space="preserve">        </w:t>
      </w:r>
      <w:r>
        <w:rPr>
          <w:rFonts w:eastAsia="Calibri" w:cs="Times New Roman" w:ascii="Times New Roman" w:hAnsi="Times New Roman"/>
          <w:b w:val="false"/>
          <w:bCs w:val="false"/>
          <w:i/>
          <w:iCs/>
          <w:color w:val="000000"/>
          <w:kern w:val="0"/>
          <w:sz w:val="24"/>
          <w:szCs w:val="24"/>
          <w:shd w:fill="FFFFFF" w:val="clear"/>
          <w:lang w:val="x-none" w:eastAsia="en-US" w:bidi="ar-SA"/>
        </w:rPr>
        <w:t xml:space="preserve">   </w:t>
      </w:r>
      <w:r>
        <w:rPr>
          <w:rFonts w:eastAsia="Calibri" w:cs="Times New Roman" w:ascii="Times New Roman" w:hAnsi="Times New Roman"/>
          <w:b w:val="false"/>
          <w:bCs w:val="false"/>
          <w:i/>
          <w:iCs/>
          <w:color w:val="000000"/>
          <w:kern w:val="0"/>
          <w:sz w:val="24"/>
          <w:szCs w:val="24"/>
          <w:shd w:fill="FFFFFF" w:val="clear"/>
          <w:lang w:val="x-none" w:eastAsia="en-US" w:bidi="ar-SA"/>
        </w:rPr>
        <w:t>4. Перечень материалов и оборудования Заказчика.</w:t>
      </w:r>
    </w:p>
    <w:p>
      <w:pPr>
        <w:pStyle w:val="Normal"/>
        <w:spacing w:before="0" w:after="0"/>
        <w:ind w:firstLine="737"/>
        <w:jc w:val="both"/>
        <w:rPr>
          <w:rFonts w:ascii="Times New Roman" w:hAnsi="Times New Roman" w:eastAsia="Calibri" w:cs="Times New Roman"/>
          <w:b w:val="false"/>
          <w:bCs w:val="false"/>
          <w:i/>
          <w:i/>
          <w:iCs/>
          <w:color w:val="000000"/>
          <w:kern w:val="0"/>
          <w:sz w:val="24"/>
          <w:szCs w:val="24"/>
          <w:shd w:fill="FFFFFF" w:val="clear"/>
          <w:lang w:val="x-none" w:eastAsia="en-US" w:bidi="ar-SA"/>
        </w:rPr>
      </w:pPr>
      <w:r>
        <w:rPr>
          <w:rFonts w:eastAsia="Calibri" w:cs="Times New Roman" w:ascii="Times New Roman" w:hAnsi="Times New Roman"/>
          <w:b w:val="false"/>
          <w:bCs w:val="false"/>
          <w:i/>
          <w:iCs/>
          <w:color w:val="000000"/>
          <w:kern w:val="0"/>
          <w:sz w:val="24"/>
          <w:szCs w:val="24"/>
          <w:shd w:fill="FFFFFF" w:val="clear"/>
          <w:lang w:val="x-none" w:eastAsia="en-US" w:bidi="ar-SA"/>
        </w:rPr>
      </w:r>
    </w:p>
    <w:p>
      <w:pPr>
        <w:pStyle w:val="ListParagraph"/>
        <w:ind w:left="643" w:hanging="0"/>
        <w:rPr>
          <w:b w:val="false"/>
          <w:bCs w:val="false"/>
          <w:i/>
          <w:i/>
          <w:iCs/>
          <w:color w:val="000000"/>
          <w:sz w:val="24"/>
          <w:szCs w:val="24"/>
          <w:shd w:fill="FFFF00" w:val="clear"/>
          <w:lang w:val="ru-RU" w:eastAsia="ru-RU"/>
        </w:rPr>
      </w:pPr>
      <w:r>
        <w:rPr>
          <w:b w:val="false"/>
          <w:bCs w:val="false"/>
          <w:i/>
          <w:iCs/>
          <w:color w:val="000000"/>
          <w:sz w:val="24"/>
          <w:szCs w:val="24"/>
          <w:shd w:fill="FFFF00" w:val="clear"/>
          <w:lang w:val="ru-RU" w:eastAsia="ru-RU"/>
        </w:rPr>
      </w:r>
    </w:p>
    <w:p>
      <w:pPr>
        <w:pStyle w:val="ListParagraph"/>
        <w:ind w:left="643" w:hanging="0"/>
        <w:rPr>
          <w:i/>
          <w:i/>
          <w:iCs/>
          <w:color w:val="000000"/>
          <w:sz w:val="24"/>
          <w:szCs w:val="24"/>
          <w:lang w:val="ru-RU" w:eastAsia="ru-RU"/>
        </w:rPr>
      </w:pPr>
      <w:r>
        <w:rPr>
          <w:i/>
          <w:iCs/>
          <w:color w:val="000000"/>
          <w:sz w:val="24"/>
          <w:szCs w:val="24"/>
          <w:lang w:val="ru-RU" w:eastAsia="ru-RU"/>
        </w:rPr>
      </w:r>
    </w:p>
    <w:p>
      <w:pPr>
        <w:pStyle w:val="ListParagraph"/>
        <w:ind w:left="643" w:hanging="0"/>
        <w:rPr>
          <w:color w:val="000000"/>
        </w:rPr>
      </w:pPr>
      <w:r>
        <w:rPr/>
      </w:r>
    </w:p>
    <w:sectPr>
      <w:footerReference w:type="default" r:id="rId5"/>
      <w:footerReference w:type="first" r:id="rId6"/>
      <w:type w:val="nextPage"/>
      <w:pgSz w:w="11906" w:h="16838"/>
      <w:pgMar w:left="851" w:right="850" w:gutter="0" w:header="0" w:top="568" w:footer="708" w:bottom="765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36"/>
        </w:tabs>
        <w:ind w:left="113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96"/>
        </w:tabs>
        <w:ind w:left="149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56"/>
        </w:tabs>
        <w:ind w:left="185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16"/>
        </w:tabs>
        <w:ind w:left="221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76"/>
        </w:tabs>
        <w:ind w:left="257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96"/>
        </w:tabs>
        <w:ind w:left="329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56"/>
        </w:tabs>
        <w:ind w:left="3656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90"/>
  <w:defaultTabStop w:val="4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spacing w:lineRule="auto" w:line="240" w:before="0" w:after="0"/>
      <w:jc w:val="center"/>
      <w:outlineLvl w:val="0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40" w:after="0"/>
      <w:outlineLvl w:val="3"/>
    </w:pPr>
    <w:rPr>
      <w:rFonts w:ascii="Cambria" w:hAnsi="Cambria"/>
      <w:i/>
      <w:iCs/>
      <w:color w:val="365F9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Верхний колонтитул Знак"/>
    <w:basedOn w:val="DefaultParagraphFont"/>
    <w:qFormat/>
    <w:rPr/>
  </w:style>
  <w:style w:type="character" w:styleId="Style8" w:customStyle="1">
    <w:name w:val="Нижний колонтитул Знак"/>
    <w:basedOn w:val="DefaultParagraphFont"/>
    <w:qFormat/>
    <w:rPr/>
  </w:style>
  <w:style w:type="character" w:styleId="Style9" w:customStyle="1">
    <w:name w:val="Основной текст Знак"/>
    <w:basedOn w:val="DefaultParagraphFont"/>
    <w:qFormat/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Style10" w:customStyle="1">
    <w:name w:val="Текст примечания Знак"/>
    <w:basedOn w:val="DefaultParagraphFont"/>
    <w:qFormat/>
    <w:rPr>
      <w:sz w:val="20"/>
      <w:szCs w:val="20"/>
    </w:rPr>
  </w:style>
  <w:style w:type="character" w:styleId="Style11" w:customStyle="1">
    <w:name w:val="Тема примечания Знак"/>
    <w:basedOn w:val="Style10"/>
    <w:qFormat/>
    <w:rPr>
      <w:b/>
      <w:bCs/>
      <w:sz w:val="20"/>
      <w:szCs w:val="20"/>
    </w:rPr>
  </w:style>
  <w:style w:type="character" w:styleId="Style12" w:customStyle="1">
    <w:name w:val="Текст выноски Знак"/>
    <w:basedOn w:val="DefaultParagraphFont"/>
    <w:qFormat/>
    <w:rPr>
      <w:rFonts w:ascii="Segoe UI" w:hAnsi="Segoe UI" w:cs="Segoe UI"/>
      <w:sz w:val="18"/>
      <w:szCs w:val="18"/>
    </w:rPr>
  </w:style>
  <w:style w:type="character" w:styleId="Style13" w:customStyle="1">
    <w:name w:val="Текст сноски Знак"/>
    <w:basedOn w:val="DefaultParagraphFont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 w:customStyle="1">
    <w:name w:val="Абзац списка Знак"/>
    <w:qFormat/>
    <w:rPr>
      <w:rFonts w:ascii="Times New Roman" w:hAnsi="Times New Roman" w:eastAsia="Times New Roman" w:cs="Times New Roman"/>
      <w:sz w:val="20"/>
      <w:szCs w:val="20"/>
      <w:lang w:val="x-none" w:eastAsia="ar-SA"/>
    </w:rPr>
  </w:style>
  <w:style w:type="character" w:styleId="2" w:customStyle="1">
    <w:name w:val="Стиль2 Знак"/>
    <w:qFormat/>
    <w:rPr>
      <w:rFonts w:ascii="Times New Roman" w:hAnsi="Times New Roman" w:eastAsia="Times New Roman" w:cs="Times New Roman"/>
      <w:sz w:val="24"/>
      <w:szCs w:val="24"/>
      <w:lang w:val="x-none" w:eastAsia="ar-SA"/>
    </w:rPr>
  </w:style>
  <w:style w:type="character" w:styleId="Style15" w:customStyle="1">
    <w:name w:val="Текст концевой сноски Знак"/>
    <w:basedOn w:val="DefaultParagraphFont"/>
    <w:qFormat/>
    <w:rPr>
      <w:sz w:val="20"/>
      <w:szCs w:val="20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Pr>
      <w:vertAlign w:val="superscript"/>
    </w:rPr>
  </w:style>
  <w:style w:type="character" w:styleId="Style17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qFormat/>
    <w:rPr>
      <w:vertAlign w:val="superscript"/>
    </w:rPr>
  </w:style>
  <w:style w:type="character" w:styleId="1" w:customStyle="1">
    <w:name w:val="Заголовок 1 Знак"/>
    <w:basedOn w:val="DefaultParagraphFont"/>
    <w:qFormat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3" w:customStyle="1">
    <w:name w:val="Основной текст с отступом 3 Знак"/>
    <w:basedOn w:val="DefaultParagraphFont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rong">
    <w:name w:val="Strong"/>
    <w:qFormat/>
    <w:rPr>
      <w:b/>
      <w:bCs/>
    </w:rPr>
  </w:style>
  <w:style w:type="character" w:styleId="4" w:customStyle="1">
    <w:name w:val="Заголовок 4 Знак"/>
    <w:basedOn w:val="DefaultParagraphFont"/>
    <w:qFormat/>
    <w:rPr>
      <w:rFonts w:ascii="Cambria" w:hAnsi="Cambria" w:eastAsia="Calibri" w:cs="Tahoma"/>
      <w:i/>
      <w:iCs/>
      <w:color w:val="365F91"/>
    </w:rPr>
  </w:style>
  <w:style w:type="character" w:styleId="Hyperlink">
    <w:name w:val="Hyperlink"/>
    <w:rPr>
      <w:color w:val="0000FF"/>
      <w:u w:val="single"/>
    </w:rPr>
  </w:style>
  <w:style w:type="character" w:styleId="Style18" w:customStyle="1">
    <w:name w:val="Маркеры"/>
    <w:qFormat/>
    <w:rPr>
      <w:rFonts w:ascii="OpenSymbol" w:hAnsi="OpenSymbol" w:eastAsia="OpenSymbol" w:cs="OpenSymbol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120"/>
    </w:pPr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1" w:customStyle="1">
    <w:name w:val="Стиль2"/>
    <w:basedOn w:val="Normal"/>
    <w:qFormat/>
    <w:pPr>
      <w:numPr>
        <w:ilvl w:val="0"/>
        <w:numId w:val="2"/>
      </w:numPr>
      <w:tabs>
        <w:tab w:val="clear" w:pos="408"/>
        <w:tab w:val="left" w:pos="360" w:leader="none"/>
        <w:tab w:val="left" w:pos="900" w:leader="none"/>
      </w:tabs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ar-SA"/>
    </w:rPr>
  </w:style>
  <w:style w:type="paragraph" w:styleId="ListParagraph">
    <w:name w:val="List Paragraph"/>
    <w:basedOn w:val="Normal"/>
    <w:qFormat/>
    <w:pPr>
      <w:widowControl w:val="false"/>
      <w:spacing w:lineRule="auto" w:line="240" w:before="0" w:after="0"/>
      <w:ind w:left="720" w:hanging="0"/>
    </w:pPr>
    <w:rPr>
      <w:rFonts w:ascii="Times New Roman" w:hAnsi="Times New Roman" w:eastAsia="Times New Roman" w:cs="Times New Roman"/>
      <w:sz w:val="20"/>
      <w:szCs w:val="20"/>
      <w:lang w:val="x-none" w:eastAsia="ar-SA"/>
    </w:rPr>
  </w:style>
  <w:style w:type="paragraph" w:styleId="EndnoteText">
    <w:name w:val="Endnote Text"/>
    <w:basedOn w:val="Normal"/>
    <w:pPr>
      <w:spacing w:lineRule="auto" w:line="240" w:before="0" w:after="0"/>
    </w:pPr>
    <w:rPr>
      <w:sz w:val="20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Style22" w:customStyle="1">
    <w:name w:val="Таблица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Formattext" w:customStyle="1">
    <w:name w:val="formattext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3" w:customStyle="1">
    <w:name w:val="Таблица шапка"/>
    <w:basedOn w:val="Normal"/>
    <w:qFormat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6"/>
      <w:lang w:eastAsia="ru-RU"/>
    </w:rPr>
  </w:style>
  <w:style w:type="paragraph" w:styleId="Style24" w:customStyle="1">
    <w:name w:val="Раздел положения"/>
    <w:basedOn w:val="Normal"/>
    <w:autoRedefine/>
    <w:qFormat/>
    <w:pPr>
      <w:numPr>
        <w:ilvl w:val="0"/>
        <w:numId w:val="3"/>
      </w:numPr>
      <w:spacing w:lineRule="auto" w:line="240" w:before="80" w:after="80"/>
      <w:jc w:val="center"/>
    </w:pPr>
    <w:rPr>
      <w:rFonts w:ascii="Times New Roman" w:hAnsi="Times New Roman" w:eastAsia="Times New Roman" w:cs="Times New Roman"/>
      <w:b/>
      <w:sz w:val="32"/>
      <w:szCs w:val="32"/>
      <w:lang w:eastAsia="ru-RU"/>
    </w:rPr>
  </w:style>
  <w:style w:type="paragraph" w:styleId="Style25" w:customStyle="1">
    <w:name w:val="Подраздел раздела положения"/>
    <w:basedOn w:val="Normal"/>
    <w:autoRedefine/>
    <w:qFormat/>
    <w:pPr>
      <w:tabs>
        <w:tab w:val="clear" w:pos="408"/>
        <w:tab w:val="left" w:pos="360" w:leader="none"/>
      </w:tabs>
      <w:spacing w:lineRule="auto" w:line="240" w:before="80" w:after="80"/>
      <w:ind w:left="360" w:hanging="36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qFormat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TOC1">
    <w:name w:val="TOC 1"/>
    <w:basedOn w:val="Normal"/>
    <w:next w:val="Normal"/>
    <w:autoRedefine/>
    <w:pPr>
      <w:spacing w:lineRule="auto" w:line="240" w:before="120" w:after="0"/>
    </w:pPr>
    <w:rPr>
      <w:rFonts w:ascii="Times New Roman" w:hAnsi="Times New Roman" w:eastAsia="Times New Roman" w:cs="Calibri Light (Заголовки)"/>
      <w:b/>
      <w:bCs/>
      <w:sz w:val="24"/>
      <w:szCs w:val="24"/>
      <w:lang w:eastAsia="ru-RU"/>
    </w:rPr>
  </w:style>
  <w:style w:type="paragraph" w:styleId="TOC3">
    <w:name w:val="TOC 3"/>
    <w:basedOn w:val="Normal"/>
    <w:next w:val="Normal"/>
    <w:autoRedefine/>
    <w:pPr>
      <w:spacing w:lineRule="auto" w:line="240" w:before="0" w:after="0"/>
      <w:ind w:left="280" w:hanging="0"/>
    </w:pPr>
    <w:rPr>
      <w:rFonts w:ascii="Times New Roman" w:hAnsi="Times New Roman" w:eastAsia="Times New Roman" w:cs="Calibri"/>
      <w:sz w:val="20"/>
      <w:szCs w:val="20"/>
      <w:lang w:eastAsia="ru-RU"/>
    </w:rPr>
  </w:style>
  <w:style w:type="paragraph" w:styleId="TOC4">
    <w:name w:val="TOC 4"/>
    <w:basedOn w:val="Normal"/>
    <w:next w:val="Normal"/>
    <w:autoRedefine/>
    <w:pPr>
      <w:spacing w:lineRule="auto" w:line="240" w:before="0" w:after="0"/>
      <w:ind w:left="560" w:hanging="0"/>
    </w:pPr>
    <w:rPr>
      <w:rFonts w:ascii="Times New Roman" w:hAnsi="Times New Roman" w:eastAsia="Times New Roman" w:cs="Calibri"/>
      <w:sz w:val="20"/>
      <w:szCs w:val="20"/>
      <w:lang w:eastAsia="ru-RU"/>
    </w:rPr>
  </w:style>
  <w:style w:type="paragraph" w:styleId="Style26" w:customStyle="1">
    <w:name w:val="Содержимое таблицы"/>
    <w:basedOn w:val="Normal"/>
    <w:qFormat/>
    <w:pPr>
      <w:suppressLineNumbers/>
    </w:pPr>
    <w:rPr/>
  </w:style>
  <w:style w:type="paragraph" w:styleId="Style27" w:customStyle="1">
    <w:name w:val="Заголовок таблицы"/>
    <w:basedOn w:val="Style26"/>
    <w:qFormat/>
    <w:pPr/>
    <w:rPr/>
  </w:style>
  <w:style w:type="paragraph" w:styleId="Style28">
    <w:name w:val="Абзац списка"/>
    <w:basedOn w:val="Normal"/>
    <w:qFormat/>
    <w:pPr>
      <w:spacing w:before="0" w:after="0"/>
      <w:ind w:left="720" w:right="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Application>AlterOffice/3.4.0.9$Linux_X86_64 LibreOffice_project/b8daf9e823b1a5463a2f48435ddc2e8696e7d4fc</Application>
  <AppVersion>15.0000</AppVersion>
  <Pages>16</Pages>
  <Words>3477</Words>
  <Characters>25537</Characters>
  <CharactersWithSpaces>28729</CharactersWithSpaces>
  <Paragraphs>338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2024-10-11T07:23:00Z</dcterms:created>
  <dc:creator>Ромашенков Владимир Викторович</dc:creator>
  <dc:description/>
  <dc:language>ru-RU</dc:language>
  <cp:lastModifiedBy>tsaregorodtsev_av</cp:lastModifiedBy>
  <dcterms:modified xsi:type="dcterms:W3CDTF">2026-03-27T15:32:38Z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